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A14D96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A14D96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653C0C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5E2221" w:rsidRDefault="005E2221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0456CE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0456CE">
        <w:rPr>
          <w:color w:val="auto"/>
          <w:sz w:val="28"/>
          <w:szCs w:val="28"/>
        </w:rPr>
        <w:t>Инспекции государственного экологического надзора</w:t>
      </w:r>
      <w:r w:rsidR="00705681">
        <w:rPr>
          <w:color w:val="auto"/>
          <w:sz w:val="28"/>
          <w:szCs w:val="28"/>
        </w:rPr>
        <w:t xml:space="preserve"> Камчатского края</w:t>
      </w:r>
    </w:p>
    <w:p w:rsidR="00BE074B" w:rsidRDefault="00FD251A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5E2221" w:rsidRPr="00886043" w:rsidRDefault="005E2221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351FF" w:rsidRPr="00BC1E19" w:rsidRDefault="003E2996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FE5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653C0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Пятигорец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3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4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Петропавловск-Камчатского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5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0456CE">
        <w:rPr>
          <w:sz w:val="28"/>
          <w:szCs w:val="28"/>
        </w:rPr>
        <w:t>–</w:t>
      </w:r>
      <w:r w:rsidR="00A44173">
        <w:rPr>
          <w:sz w:val="28"/>
          <w:szCs w:val="28"/>
        </w:rPr>
        <w:t xml:space="preserve"> </w:t>
      </w:r>
      <w:r w:rsidR="000456CE">
        <w:rPr>
          <w:sz w:val="28"/>
          <w:szCs w:val="28"/>
        </w:rPr>
        <w:t>Инспекцией государственного экологического надзора</w:t>
      </w:r>
      <w:r w:rsidR="002D1B4A"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Камчатского края</w:t>
      </w:r>
      <w:r w:rsidR="002D1B4A">
        <w:rPr>
          <w:rStyle w:val="ab"/>
          <w:sz w:val="28"/>
          <w:szCs w:val="28"/>
        </w:rPr>
        <w:footnoteReference w:id="6"/>
      </w:r>
      <w:r w:rsidR="00A44173">
        <w:rPr>
          <w:sz w:val="28"/>
          <w:szCs w:val="28"/>
        </w:rPr>
        <w:t>.</w:t>
      </w:r>
    </w:p>
    <w:p w:rsidR="007353EB" w:rsidRDefault="007353EB" w:rsidP="005E2221">
      <w:pPr>
        <w:numPr>
          <w:ilvl w:val="0"/>
          <w:numId w:val="9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5E2221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7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0456CE">
        <w:rPr>
          <w:sz w:val="28"/>
          <w:szCs w:val="28"/>
        </w:rPr>
        <w:t>Инспекции экологического надзора</w:t>
      </w:r>
      <w:r w:rsidR="00554D5C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 xml:space="preserve">представлена на бумажных </w:t>
      </w:r>
      <w:r w:rsidRPr="00CC4A4D">
        <w:rPr>
          <w:sz w:val="28"/>
          <w:szCs w:val="28"/>
        </w:rPr>
        <w:lastRenderedPageBreak/>
        <w:t>носителях в сброшюрованном и пронумерованном виде с оглавлением и сопроводительным письмом.</w:t>
      </w:r>
    </w:p>
    <w:p w:rsidR="007353EB" w:rsidRDefault="00DC481A" w:rsidP="00653972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целом 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  <w:r>
        <w:rPr>
          <w:sz w:val="28"/>
          <w:szCs w:val="28"/>
        </w:rPr>
        <w:t xml:space="preserve">Однако пояснительная записка (ф. 0503160) в нарушение вышеуказанного пункта Инструкции №191н </w:t>
      </w:r>
      <w:r w:rsidRPr="00AF11B5">
        <w:rPr>
          <w:sz w:val="28"/>
          <w:szCs w:val="28"/>
        </w:rPr>
        <w:t>руководителем и главным бухгалтером</w:t>
      </w:r>
      <w:r>
        <w:rPr>
          <w:sz w:val="28"/>
          <w:szCs w:val="28"/>
        </w:rPr>
        <w:t xml:space="preserve"> не подписана.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0456CE">
        <w:rPr>
          <w:sz w:val="28"/>
          <w:szCs w:val="28"/>
        </w:rPr>
        <w:t xml:space="preserve">Инспекции экологического надзора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0456CE" w:rsidRDefault="000456CE" w:rsidP="00653972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>
        <w:rPr>
          <w:sz w:val="28"/>
          <w:szCs w:val="28"/>
        </w:rPr>
        <w:t>Инспекцией экологического надзора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0456CE" w:rsidRDefault="000456CE" w:rsidP="00045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Сведения по ущербу имуществу, хищениях денежных средств и материальных ценностей (ф. 0503176), имеющие нулевые показатели, не отражены в текстовой части пояснительной записки (ф. 0503160), что нарушает пункты 8, 152 Инструкции №191н.</w:t>
      </w:r>
    </w:p>
    <w:p w:rsidR="007353EB" w:rsidRPr="008B6DB6" w:rsidRDefault="007353EB" w:rsidP="005E2221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5E2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0456CE">
        <w:rPr>
          <w:sz w:val="28"/>
          <w:szCs w:val="28"/>
        </w:rPr>
        <w:t>Инспекцией по экологическому надзору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D4D17" w:rsidRPr="000456CE" w:rsidRDefault="007353EB" w:rsidP="000456CE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0456CE">
        <w:rPr>
          <w:b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0456CE">
        <w:rPr>
          <w:rStyle w:val="ab"/>
          <w:sz w:val="28"/>
          <w:szCs w:val="28"/>
        </w:rPr>
        <w:footnoteReference w:id="8"/>
      </w:r>
      <w:r w:rsidR="009D4D17" w:rsidRPr="000456CE">
        <w:rPr>
          <w:b/>
          <w:sz w:val="28"/>
          <w:szCs w:val="28"/>
        </w:rPr>
        <w:t>.</w:t>
      </w:r>
    </w:p>
    <w:p w:rsidR="009D4D17" w:rsidRDefault="009D4D17" w:rsidP="009D4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D4D17" w:rsidRDefault="009D4D17" w:rsidP="009D4D17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 w:rsidR="000456CE">
        <w:rPr>
          <w:spacing w:val="1"/>
          <w:sz w:val="28"/>
          <w:szCs w:val="28"/>
        </w:rPr>
        <w:t>3199</w:t>
      </w:r>
      <w:r>
        <w:rPr>
          <w:spacing w:val="1"/>
          <w:sz w:val="28"/>
          <w:szCs w:val="28"/>
        </w:rPr>
        <w:t>,8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а на конец периода </w:t>
      </w:r>
      <w:r w:rsidR="000456CE">
        <w:rPr>
          <w:sz w:val="28"/>
          <w:szCs w:val="28"/>
        </w:rPr>
        <w:t>3214</w:t>
      </w:r>
      <w:r>
        <w:rPr>
          <w:sz w:val="28"/>
          <w:szCs w:val="28"/>
        </w:rPr>
        <w:t>,</w:t>
      </w:r>
      <w:r w:rsidR="000456C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9D4D17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lastRenderedPageBreak/>
        <w:t>Справк</w:t>
      </w:r>
      <w:r w:rsidR="00D337BD" w:rsidRPr="009D4D17">
        <w:rPr>
          <w:b/>
          <w:sz w:val="28"/>
          <w:szCs w:val="28"/>
        </w:rPr>
        <w:t>а</w:t>
      </w:r>
      <w:r w:rsidRPr="009D4D17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9"/>
      </w:r>
      <w:r w:rsidR="00D337BD"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7353EB" w:rsidRDefault="007353EB" w:rsidP="009D4D17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0456CE">
        <w:rPr>
          <w:sz w:val="28"/>
          <w:szCs w:val="28"/>
        </w:rPr>
        <w:t>3850,6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1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0456CE">
        <w:rPr>
          <w:sz w:val="28"/>
          <w:szCs w:val="28"/>
        </w:rPr>
        <w:t>3500</w:t>
      </w:r>
      <w:r w:rsidR="008F3A3D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0456CE">
        <w:rPr>
          <w:sz w:val="28"/>
          <w:szCs w:val="28"/>
        </w:rPr>
        <w:t>3835</w:t>
      </w:r>
      <w:r w:rsidR="00207518">
        <w:rPr>
          <w:sz w:val="28"/>
          <w:szCs w:val="28"/>
        </w:rPr>
        <w:t>,</w:t>
      </w:r>
      <w:r w:rsidR="000456C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0456CE">
        <w:rPr>
          <w:sz w:val="28"/>
          <w:szCs w:val="28"/>
        </w:rPr>
        <w:t>(-) 335,9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5E2221">
      <w:pPr>
        <w:numPr>
          <w:ilvl w:val="0"/>
          <w:numId w:val="7"/>
        </w:numPr>
        <w:tabs>
          <w:tab w:val="left" w:pos="540"/>
        </w:tabs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5E2221">
        <w:rPr>
          <w:spacing w:val="11"/>
          <w:sz w:val="28"/>
          <w:szCs w:val="28"/>
        </w:rPr>
        <w:t>3500</w:t>
      </w:r>
      <w:r w:rsidR="008F3A3D">
        <w:rPr>
          <w:spacing w:val="11"/>
          <w:sz w:val="28"/>
          <w:szCs w:val="28"/>
        </w:rPr>
        <w:t>,</w:t>
      </w:r>
      <w:r w:rsidR="009D4D17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5E2221">
        <w:rPr>
          <w:spacing w:val="11"/>
          <w:sz w:val="28"/>
          <w:szCs w:val="28"/>
        </w:rPr>
        <w:t>3835</w:t>
      </w:r>
      <w:r w:rsidR="008F3A3D">
        <w:rPr>
          <w:spacing w:val="11"/>
          <w:sz w:val="28"/>
          <w:szCs w:val="28"/>
        </w:rPr>
        <w:t>,</w:t>
      </w:r>
      <w:r w:rsidR="005E2221">
        <w:rPr>
          <w:spacing w:val="11"/>
          <w:sz w:val="28"/>
          <w:szCs w:val="28"/>
        </w:rPr>
        <w:t>9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5E2221">
        <w:rPr>
          <w:color w:val="000000"/>
          <w:sz w:val="28"/>
          <w:szCs w:val="28"/>
        </w:rPr>
        <w:t>335</w:t>
      </w:r>
      <w:r w:rsidR="00207518">
        <w:rPr>
          <w:color w:val="000000"/>
          <w:sz w:val="28"/>
          <w:szCs w:val="28"/>
        </w:rPr>
        <w:t>,</w:t>
      </w:r>
      <w:r w:rsidR="005E2221">
        <w:rPr>
          <w:color w:val="000000"/>
          <w:sz w:val="28"/>
          <w:szCs w:val="28"/>
        </w:rPr>
        <w:t>9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5E2221">
        <w:rPr>
          <w:color w:val="000000"/>
          <w:sz w:val="28"/>
          <w:szCs w:val="28"/>
        </w:rPr>
        <w:t>больше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объема, 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2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5E2221">
        <w:rPr>
          <w:sz w:val="28"/>
          <w:szCs w:val="28"/>
        </w:rPr>
        <w:t>109</w:t>
      </w:r>
      <w:r w:rsidR="00E23FAD">
        <w:rPr>
          <w:sz w:val="28"/>
          <w:szCs w:val="28"/>
        </w:rPr>
        <w:t>,</w:t>
      </w:r>
      <w:r w:rsidR="005E2221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5E2221">
        <w:rPr>
          <w:sz w:val="28"/>
          <w:szCs w:val="28"/>
        </w:rPr>
        <w:t xml:space="preserve"> в связи с увеличением количества внеплановых проверок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соответствующими </w:t>
      </w:r>
      <w:r w:rsidRPr="003251F7">
        <w:rPr>
          <w:sz w:val="28"/>
          <w:szCs w:val="28"/>
        </w:rPr>
        <w:lastRenderedPageBreak/>
        <w:t xml:space="preserve">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616" w:type="dxa"/>
        <w:tblInd w:w="95" w:type="dxa"/>
        <w:tblLook w:val="04A0"/>
      </w:tblPr>
      <w:tblGrid>
        <w:gridCol w:w="1714"/>
        <w:gridCol w:w="454"/>
        <w:gridCol w:w="913"/>
        <w:gridCol w:w="913"/>
        <w:gridCol w:w="913"/>
        <w:gridCol w:w="913"/>
        <w:gridCol w:w="953"/>
        <w:gridCol w:w="945"/>
        <w:gridCol w:w="953"/>
        <w:gridCol w:w="945"/>
      </w:tblGrid>
      <w:tr w:rsidR="005E2221" w:rsidRPr="005E2221" w:rsidTr="005E2221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5E2221" w:rsidRPr="005E2221" w:rsidTr="005E2221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5E2221" w:rsidRPr="005E2221" w:rsidTr="005E2221">
        <w:trPr>
          <w:trHeight w:val="2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 xml:space="preserve"> в 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5E2221" w:rsidRPr="005E2221" w:rsidTr="005E2221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EB48C9" w:rsidP="00EB4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221" w:rsidRPr="005E2221" w:rsidRDefault="005E2221" w:rsidP="00EB48C9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1</w:t>
            </w:r>
            <w:r w:rsidR="00EB48C9">
              <w:rPr>
                <w:color w:val="000000"/>
                <w:sz w:val="14"/>
                <w:szCs w:val="14"/>
              </w:rPr>
              <w:t>0</w:t>
            </w:r>
          </w:p>
        </w:tc>
      </w:tr>
      <w:tr w:rsidR="005E2221" w:rsidRPr="005E2221" w:rsidTr="005E2221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4952,2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3850,6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2276,4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3835,9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-1101,6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-22,2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1559,5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221" w:rsidRPr="005E2221" w:rsidRDefault="005E2221" w:rsidP="005E2221">
            <w:pPr>
              <w:jc w:val="center"/>
              <w:rPr>
                <w:color w:val="000000"/>
                <w:sz w:val="14"/>
                <w:szCs w:val="14"/>
              </w:rPr>
            </w:pPr>
            <w:r w:rsidRPr="005E2221">
              <w:rPr>
                <w:color w:val="000000"/>
                <w:sz w:val="14"/>
                <w:szCs w:val="14"/>
              </w:rPr>
              <w:t>68,5</w:t>
            </w:r>
          </w:p>
        </w:tc>
      </w:tr>
      <w:tr w:rsidR="005E2221" w:rsidRPr="005E2221" w:rsidTr="005E2221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4952,2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3850,6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2276,4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3835,9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-1101,6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-22,2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1559,5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221" w:rsidRPr="005E2221" w:rsidRDefault="005E2221" w:rsidP="005E222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2221">
              <w:rPr>
                <w:b/>
                <w:bCs/>
                <w:color w:val="000000"/>
                <w:sz w:val="14"/>
                <w:szCs w:val="14"/>
              </w:rPr>
              <w:t>68,5</w:t>
            </w:r>
          </w:p>
        </w:tc>
      </w:tr>
    </w:tbl>
    <w:p w:rsidR="005E2221" w:rsidRDefault="005E2221" w:rsidP="005E2221">
      <w:pPr>
        <w:jc w:val="both"/>
        <w:rPr>
          <w:sz w:val="28"/>
          <w:szCs w:val="28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5E2221">
        <w:rPr>
          <w:sz w:val="28"/>
          <w:szCs w:val="28"/>
        </w:rPr>
        <w:t xml:space="preserve"> годом наблюдается снижение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5E2221">
        <w:rPr>
          <w:sz w:val="28"/>
          <w:szCs w:val="28"/>
        </w:rPr>
        <w:t>1101,6</w:t>
      </w:r>
      <w:r w:rsidRPr="00C57AAD"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 xml:space="preserve">на </w:t>
      </w:r>
      <w:r w:rsidR="005E2221">
        <w:rPr>
          <w:sz w:val="28"/>
          <w:szCs w:val="28"/>
        </w:rPr>
        <w:t>22,2</w:t>
      </w:r>
      <w:r w:rsidR="007405A0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7353EB" w:rsidRDefault="007405A0" w:rsidP="00D8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="007353EB">
        <w:rPr>
          <w:sz w:val="28"/>
          <w:szCs w:val="28"/>
        </w:rPr>
        <w:t>умма поступивших доходов</w:t>
      </w:r>
      <w:r w:rsidR="007353EB" w:rsidRPr="00C57AAD">
        <w:rPr>
          <w:sz w:val="28"/>
          <w:szCs w:val="28"/>
        </w:rPr>
        <w:t xml:space="preserve"> в бюджет городского округа в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</w:t>
      </w:r>
      <w:r w:rsidR="007353EB">
        <w:rPr>
          <w:sz w:val="28"/>
          <w:szCs w:val="28"/>
        </w:rPr>
        <w:t>,</w:t>
      </w:r>
      <w:r w:rsidR="007353EB" w:rsidRPr="00C57AAD">
        <w:rPr>
          <w:sz w:val="28"/>
          <w:szCs w:val="28"/>
        </w:rPr>
        <w:t xml:space="preserve"> </w:t>
      </w:r>
      <w:r w:rsidR="007353EB">
        <w:rPr>
          <w:sz w:val="28"/>
          <w:szCs w:val="28"/>
        </w:rPr>
        <w:t xml:space="preserve">администрируемых </w:t>
      </w:r>
      <w:r w:rsidR="005E2221">
        <w:rPr>
          <w:sz w:val="28"/>
          <w:szCs w:val="28"/>
        </w:rPr>
        <w:t>Инспекцией экологического надзора</w:t>
      </w:r>
      <w:r w:rsidR="007353EB">
        <w:rPr>
          <w:sz w:val="28"/>
          <w:szCs w:val="28"/>
        </w:rPr>
        <w:t xml:space="preserve">, </w:t>
      </w:r>
      <w:r w:rsidR="007353EB"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="007353EB" w:rsidRPr="00C57AAD">
        <w:rPr>
          <w:sz w:val="28"/>
          <w:szCs w:val="28"/>
        </w:rPr>
        <w:t xml:space="preserve"> годом </w:t>
      </w:r>
      <w:r w:rsidR="00BA6708">
        <w:rPr>
          <w:sz w:val="28"/>
          <w:szCs w:val="28"/>
        </w:rPr>
        <w:t>у</w:t>
      </w:r>
      <w:r w:rsidR="005E2221">
        <w:rPr>
          <w:sz w:val="28"/>
          <w:szCs w:val="28"/>
        </w:rPr>
        <w:t>величилась</w:t>
      </w:r>
      <w:r w:rsidR="007353EB">
        <w:rPr>
          <w:sz w:val="28"/>
          <w:szCs w:val="28"/>
        </w:rPr>
        <w:t xml:space="preserve"> на </w:t>
      </w:r>
      <w:r w:rsidR="005E2221">
        <w:rPr>
          <w:sz w:val="28"/>
          <w:szCs w:val="28"/>
        </w:rPr>
        <w:t>1559,5</w:t>
      </w:r>
      <w:r w:rsidR="007353E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E2221">
        <w:rPr>
          <w:sz w:val="28"/>
          <w:szCs w:val="28"/>
        </w:rPr>
        <w:t>68,5</w:t>
      </w:r>
      <w:r>
        <w:rPr>
          <w:sz w:val="28"/>
          <w:szCs w:val="28"/>
        </w:rPr>
        <w:t>%.</w:t>
      </w:r>
    </w:p>
    <w:p w:rsidR="007405A0" w:rsidRDefault="00F12341" w:rsidP="007405A0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="007405A0">
        <w:rPr>
          <w:color w:val="000000"/>
          <w:spacing w:val="1"/>
          <w:sz w:val="28"/>
          <w:szCs w:val="28"/>
        </w:rPr>
        <w:t>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 w:rsidR="007405A0"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5562E6">
        <w:rPr>
          <w:color w:val="000000"/>
          <w:spacing w:val="1"/>
          <w:sz w:val="28"/>
          <w:szCs w:val="28"/>
        </w:rPr>
        <w:t>п</w:t>
      </w:r>
      <w:r w:rsidRPr="00217CAD">
        <w:rPr>
          <w:color w:val="000000"/>
          <w:spacing w:val="1"/>
          <w:sz w:val="28"/>
          <w:szCs w:val="28"/>
        </w:rPr>
        <w:t xml:space="preserve">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7405A0">
        <w:rPr>
          <w:color w:val="000000"/>
          <w:spacing w:val="1"/>
          <w:sz w:val="28"/>
          <w:szCs w:val="28"/>
        </w:rPr>
        <w:t>дебиторская</w:t>
      </w:r>
      <w:r w:rsidR="007405A0"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 w:rsidR="007405A0">
        <w:rPr>
          <w:color w:val="000000"/>
          <w:spacing w:val="1"/>
          <w:sz w:val="28"/>
          <w:szCs w:val="28"/>
        </w:rPr>
        <w:t xml:space="preserve">начало периода составила </w:t>
      </w:r>
      <w:r w:rsidR="004B2326">
        <w:rPr>
          <w:color w:val="000000"/>
          <w:spacing w:val="1"/>
          <w:sz w:val="28"/>
          <w:szCs w:val="28"/>
        </w:rPr>
        <w:t>3199</w:t>
      </w:r>
      <w:r w:rsidR="007405A0">
        <w:rPr>
          <w:color w:val="000000"/>
          <w:spacing w:val="1"/>
          <w:sz w:val="28"/>
          <w:szCs w:val="28"/>
        </w:rPr>
        <w:t xml:space="preserve">,8 тыс. рублей, </w:t>
      </w:r>
      <w:r w:rsidR="00281D7F">
        <w:rPr>
          <w:color w:val="000000"/>
          <w:spacing w:val="1"/>
          <w:sz w:val="28"/>
          <w:szCs w:val="28"/>
        </w:rPr>
        <w:t xml:space="preserve">а </w:t>
      </w:r>
      <w:r w:rsidR="007405A0">
        <w:rPr>
          <w:color w:val="000000"/>
          <w:spacing w:val="1"/>
          <w:sz w:val="28"/>
          <w:szCs w:val="28"/>
        </w:rPr>
        <w:t>на конец отчетного периода у</w:t>
      </w:r>
      <w:r w:rsidR="004B2326">
        <w:rPr>
          <w:color w:val="000000"/>
          <w:spacing w:val="1"/>
          <w:sz w:val="28"/>
          <w:szCs w:val="28"/>
        </w:rPr>
        <w:t>величилась</w:t>
      </w:r>
      <w:r w:rsidR="007405A0">
        <w:rPr>
          <w:color w:val="000000"/>
          <w:spacing w:val="1"/>
          <w:sz w:val="28"/>
          <w:szCs w:val="28"/>
        </w:rPr>
        <w:t xml:space="preserve"> до </w:t>
      </w:r>
      <w:r w:rsidR="004B2326">
        <w:rPr>
          <w:color w:val="000000"/>
          <w:spacing w:val="1"/>
          <w:sz w:val="28"/>
          <w:szCs w:val="28"/>
        </w:rPr>
        <w:t>3214,5</w:t>
      </w:r>
      <w:r w:rsidR="007405A0">
        <w:rPr>
          <w:color w:val="000000"/>
          <w:spacing w:val="1"/>
          <w:sz w:val="28"/>
          <w:szCs w:val="28"/>
        </w:rPr>
        <w:t xml:space="preserve"> тыс. рублей</w:t>
      </w:r>
      <w:r w:rsidR="004B2326">
        <w:rPr>
          <w:color w:val="000000"/>
          <w:spacing w:val="1"/>
          <w:sz w:val="28"/>
          <w:szCs w:val="28"/>
        </w:rPr>
        <w:t xml:space="preserve">, </w:t>
      </w:r>
      <w:r w:rsidR="005562E6">
        <w:rPr>
          <w:color w:val="000000"/>
          <w:spacing w:val="1"/>
          <w:sz w:val="28"/>
          <w:szCs w:val="28"/>
        </w:rPr>
        <w:t>или</w:t>
      </w:r>
      <w:r w:rsidR="00281D7F">
        <w:rPr>
          <w:color w:val="000000"/>
          <w:spacing w:val="1"/>
          <w:sz w:val="28"/>
          <w:szCs w:val="28"/>
        </w:rPr>
        <w:t xml:space="preserve"> на 14,7 тыс. рублей </w:t>
      </w:r>
      <w:r w:rsidR="005562E6">
        <w:rPr>
          <w:color w:val="000000"/>
          <w:spacing w:val="1"/>
          <w:sz w:val="28"/>
          <w:szCs w:val="28"/>
        </w:rPr>
        <w:t>(</w:t>
      </w:r>
      <w:r w:rsidR="00281D7F">
        <w:rPr>
          <w:color w:val="000000"/>
          <w:spacing w:val="1"/>
          <w:sz w:val="28"/>
          <w:szCs w:val="28"/>
        </w:rPr>
        <w:t>0,5%</w:t>
      </w:r>
      <w:r w:rsidR="005562E6">
        <w:rPr>
          <w:color w:val="000000"/>
          <w:spacing w:val="1"/>
          <w:sz w:val="28"/>
          <w:szCs w:val="28"/>
        </w:rPr>
        <w:t>)</w:t>
      </w:r>
      <w:r w:rsidR="00281D7F">
        <w:rPr>
          <w:color w:val="000000"/>
          <w:spacing w:val="1"/>
          <w:sz w:val="28"/>
          <w:szCs w:val="28"/>
        </w:rPr>
        <w:t xml:space="preserve">, что соответствует показателю строки 480 </w:t>
      </w:r>
      <w:r w:rsidR="00281D7F">
        <w:rPr>
          <w:sz w:val="28"/>
          <w:szCs w:val="28"/>
        </w:rPr>
        <w:t>отчёта</w:t>
      </w:r>
      <w:r w:rsidR="00281D7F" w:rsidRPr="008B6DB6">
        <w:rPr>
          <w:sz w:val="28"/>
          <w:szCs w:val="28"/>
        </w:rPr>
        <w:t xml:space="preserve"> о финансовых результатах деятельности </w:t>
      </w:r>
      <w:r w:rsidR="00281D7F">
        <w:rPr>
          <w:sz w:val="28"/>
          <w:szCs w:val="28"/>
        </w:rPr>
        <w:t>(</w:t>
      </w:r>
      <w:r w:rsidR="00281D7F" w:rsidRPr="008B6DB6">
        <w:rPr>
          <w:sz w:val="28"/>
          <w:szCs w:val="28"/>
        </w:rPr>
        <w:t>ф.0503121</w:t>
      </w:r>
      <w:r w:rsidR="00281D7F">
        <w:rPr>
          <w:sz w:val="28"/>
          <w:szCs w:val="28"/>
        </w:rPr>
        <w:t>)</w:t>
      </w:r>
      <w:r w:rsidR="00281D7F" w:rsidRPr="008B6DB6">
        <w:rPr>
          <w:sz w:val="28"/>
          <w:szCs w:val="28"/>
        </w:rPr>
        <w:t xml:space="preserve"> </w:t>
      </w:r>
      <w:r w:rsidR="00281D7F">
        <w:rPr>
          <w:color w:val="000000"/>
          <w:spacing w:val="1"/>
          <w:sz w:val="28"/>
          <w:szCs w:val="28"/>
        </w:rPr>
        <w:t>по состоянию на 1 января 2015</w:t>
      </w:r>
      <w:r w:rsidR="00281D7F" w:rsidRPr="00217CAD">
        <w:rPr>
          <w:color w:val="000000"/>
          <w:spacing w:val="1"/>
          <w:sz w:val="28"/>
          <w:szCs w:val="28"/>
        </w:rPr>
        <w:t xml:space="preserve"> года </w:t>
      </w:r>
      <w:r w:rsidR="00281D7F" w:rsidRPr="00217CAD">
        <w:rPr>
          <w:color w:val="000000"/>
          <w:spacing w:val="7"/>
          <w:sz w:val="28"/>
          <w:szCs w:val="28"/>
        </w:rPr>
        <w:t>по бюджетной деятельности</w:t>
      </w:r>
      <w:r w:rsidR="00281D7F">
        <w:rPr>
          <w:color w:val="000000"/>
          <w:spacing w:val="7"/>
          <w:sz w:val="28"/>
          <w:szCs w:val="28"/>
        </w:rPr>
        <w:t>.</w:t>
      </w:r>
      <w:r w:rsidR="00281D7F">
        <w:rPr>
          <w:color w:val="000000"/>
          <w:spacing w:val="1"/>
          <w:sz w:val="28"/>
          <w:szCs w:val="28"/>
        </w:rPr>
        <w:t xml:space="preserve"> При этом меры, предпринимаемые Инспекцией экологического надзора по взысканию сложившейся дебиторской задолженности, не отражены в Пояснительной записке (ф. 0503160)</w:t>
      </w:r>
      <w:r w:rsidR="00FC7305">
        <w:rPr>
          <w:color w:val="000000"/>
          <w:spacing w:val="1"/>
          <w:sz w:val="28"/>
          <w:szCs w:val="28"/>
        </w:rPr>
        <w:t>, что</w:t>
      </w:r>
      <w:r w:rsidR="00281D7F">
        <w:rPr>
          <w:color w:val="000000"/>
          <w:spacing w:val="1"/>
          <w:sz w:val="28"/>
          <w:szCs w:val="28"/>
        </w:rPr>
        <w:t xml:space="preserve"> свидетельствует</w:t>
      </w:r>
      <w:r w:rsidR="001C5F7C">
        <w:rPr>
          <w:sz w:val="28"/>
          <w:szCs w:val="28"/>
        </w:rPr>
        <w:t xml:space="preserve"> о недостаточности мер, принимаемых Инспекцией, по возмещению сложившейся задолженности по штрафам</w:t>
      </w:r>
      <w:r w:rsidR="007405A0">
        <w:rPr>
          <w:color w:val="000000"/>
          <w:spacing w:val="1"/>
          <w:sz w:val="28"/>
          <w:szCs w:val="28"/>
        </w:rPr>
        <w:t>.</w:t>
      </w:r>
      <w:r w:rsidR="007405A0" w:rsidRPr="00217CAD">
        <w:rPr>
          <w:color w:val="000000"/>
          <w:spacing w:val="1"/>
          <w:sz w:val="28"/>
          <w:szCs w:val="28"/>
        </w:rPr>
        <w:t xml:space="preserve"> </w:t>
      </w:r>
    </w:p>
    <w:p w:rsidR="007353EB" w:rsidRPr="004B2C55" w:rsidRDefault="007353EB" w:rsidP="00653C0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653C0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1C5F7C">
        <w:rPr>
          <w:sz w:val="28"/>
          <w:szCs w:val="28"/>
        </w:rPr>
        <w:t xml:space="preserve">Инспекции экологического надзора </w:t>
      </w:r>
      <w:r w:rsidRPr="004B2C55">
        <w:rPr>
          <w:sz w:val="28"/>
          <w:szCs w:val="28"/>
        </w:rPr>
        <w:t xml:space="preserve">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224D24" w:rsidRDefault="00224D24" w:rsidP="00224D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>
        <w:rPr>
          <w:sz w:val="28"/>
          <w:szCs w:val="28"/>
        </w:rPr>
        <w:t>Инспекции экологического надзора</w:t>
      </w:r>
      <w:r w:rsidRPr="009A18FE">
        <w:rPr>
          <w:rFonts w:eastAsia="Calibri"/>
          <w:sz w:val="28"/>
          <w:szCs w:val="28"/>
        </w:rPr>
        <w:t xml:space="preserve"> необходимо акцентировать внимание на </w:t>
      </w:r>
      <w:r w:rsidR="00DC481A">
        <w:rPr>
          <w:rFonts w:eastAsia="Calibri"/>
          <w:sz w:val="28"/>
          <w:szCs w:val="28"/>
        </w:rPr>
        <w:t xml:space="preserve">правильность оформления пояснительной записки (ф.0503160) и </w:t>
      </w:r>
      <w:r w:rsidRPr="009A18FE">
        <w:rPr>
          <w:rFonts w:eastAsia="Calibri"/>
          <w:sz w:val="28"/>
          <w:szCs w:val="28"/>
        </w:rPr>
        <w:t xml:space="preserve">полноту отражения в </w:t>
      </w:r>
      <w:r w:rsidR="00DC481A">
        <w:rPr>
          <w:rFonts w:eastAsia="Calibri"/>
          <w:sz w:val="28"/>
          <w:szCs w:val="28"/>
        </w:rPr>
        <w:t>ней</w:t>
      </w:r>
      <w:r w:rsidRPr="009A18FE">
        <w:rPr>
          <w:rFonts w:eastAsia="Calibri"/>
          <w:sz w:val="28"/>
          <w:szCs w:val="28"/>
        </w:rPr>
        <w:t xml:space="preserve"> форм, имеющих нулевые показатели.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224D24" w:rsidRDefault="00224D24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27" w:rsidRDefault="00725127">
      <w:r>
        <w:separator/>
      </w:r>
    </w:p>
  </w:endnote>
  <w:endnote w:type="continuationSeparator" w:id="1">
    <w:p w:rsidR="00725127" w:rsidRDefault="0072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4D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4D96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305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27" w:rsidRDefault="00725127">
      <w:r>
        <w:separator/>
      </w:r>
    </w:p>
  </w:footnote>
  <w:footnote w:type="continuationSeparator" w:id="1">
    <w:p w:rsidR="00725127" w:rsidRDefault="00725127">
      <w:r>
        <w:continuationSeparator/>
      </w:r>
    </w:p>
  </w:footnote>
  <w:footnote w:id="2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4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5">
    <w:p w:rsidR="00674A8D" w:rsidRDefault="00674A8D" w:rsidP="00A44173">
      <w:pPr>
        <w:pStyle w:val="a9"/>
      </w:pPr>
      <w:r>
        <w:rPr>
          <w:rStyle w:val="ab"/>
        </w:rPr>
        <w:footnoteRef/>
      </w:r>
      <w:r w:rsidR="00554D5C">
        <w:t xml:space="preserve"> Далее – городской округ;</w:t>
      </w:r>
    </w:p>
  </w:footnote>
  <w:footnote w:id="6">
    <w:p w:rsidR="002D1B4A" w:rsidRDefault="002D1B4A">
      <w:pPr>
        <w:pStyle w:val="a9"/>
      </w:pPr>
      <w:r>
        <w:rPr>
          <w:rStyle w:val="ab"/>
        </w:rPr>
        <w:footnoteRef/>
      </w:r>
      <w:r>
        <w:t xml:space="preserve"> Далее </w:t>
      </w:r>
      <w:r w:rsidR="000456CE">
        <w:t>–</w:t>
      </w:r>
      <w:r>
        <w:t xml:space="preserve"> </w:t>
      </w:r>
      <w:r w:rsidR="000456CE">
        <w:t>Инспекция экологического надзора</w:t>
      </w:r>
      <w:r w:rsidR="00554D5C">
        <w:t xml:space="preserve">, </w:t>
      </w:r>
      <w:r w:rsidR="000456CE">
        <w:t>Инспекция</w:t>
      </w:r>
      <w:r w:rsidR="00554D5C">
        <w:t>;</w:t>
      </w:r>
    </w:p>
  </w:footnote>
  <w:footnote w:id="7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653972">
        <w:t>е – баланс (ф. 0503130), баланс.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 </w:t>
      </w:r>
      <w:r w:rsidR="00653972">
        <w:t>заключению счетов (ф. 0503110);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1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653972">
        <w:t>3127);</w:t>
      </w:r>
    </w:p>
  </w:footnote>
  <w:footnote w:id="12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653972">
        <w:t>0</w:t>
      </w:r>
      <w:r w:rsidR="00207518">
        <w:t>7</w:t>
      </w:r>
      <w:r w:rsidRPr="00937021">
        <w:t>.0</w:t>
      </w:r>
      <w:r w:rsidR="00653972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653972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A14D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141"/>
    <w:multiLevelType w:val="hybridMultilevel"/>
    <w:tmpl w:val="465CC6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27A5B"/>
    <w:rsid w:val="000342A1"/>
    <w:rsid w:val="000351FF"/>
    <w:rsid w:val="000447F7"/>
    <w:rsid w:val="000456CE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5F7C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24D24"/>
    <w:rsid w:val="00243590"/>
    <w:rsid w:val="0024471E"/>
    <w:rsid w:val="002523B1"/>
    <w:rsid w:val="00263F26"/>
    <w:rsid w:val="002669C1"/>
    <w:rsid w:val="00270970"/>
    <w:rsid w:val="00272E51"/>
    <w:rsid w:val="002812CA"/>
    <w:rsid w:val="00281D7F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1B4A"/>
    <w:rsid w:val="002D7142"/>
    <w:rsid w:val="002E0CAE"/>
    <w:rsid w:val="002E162C"/>
    <w:rsid w:val="002E30A3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709"/>
    <w:rsid w:val="00330FC1"/>
    <w:rsid w:val="00344AB5"/>
    <w:rsid w:val="00353A75"/>
    <w:rsid w:val="00363A92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2996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326"/>
    <w:rsid w:val="004B2A30"/>
    <w:rsid w:val="004B2F10"/>
    <w:rsid w:val="004B5AAB"/>
    <w:rsid w:val="004C21E7"/>
    <w:rsid w:val="004C6E14"/>
    <w:rsid w:val="00507E3C"/>
    <w:rsid w:val="0051401B"/>
    <w:rsid w:val="00525A4C"/>
    <w:rsid w:val="005430EF"/>
    <w:rsid w:val="00554D5C"/>
    <w:rsid w:val="00555F6F"/>
    <w:rsid w:val="005562E6"/>
    <w:rsid w:val="005577E8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E2221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972"/>
    <w:rsid w:val="00653C0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E7271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127"/>
    <w:rsid w:val="00725E41"/>
    <w:rsid w:val="007353EB"/>
    <w:rsid w:val="00735916"/>
    <w:rsid w:val="007405A0"/>
    <w:rsid w:val="007425EA"/>
    <w:rsid w:val="00744B58"/>
    <w:rsid w:val="007450FA"/>
    <w:rsid w:val="0075007E"/>
    <w:rsid w:val="0075084E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3FE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4990"/>
    <w:rsid w:val="009D4D17"/>
    <w:rsid w:val="009D755D"/>
    <w:rsid w:val="009E24E1"/>
    <w:rsid w:val="009E2607"/>
    <w:rsid w:val="009E5AD4"/>
    <w:rsid w:val="009E5DC7"/>
    <w:rsid w:val="009F7D6C"/>
    <w:rsid w:val="00A00AA6"/>
    <w:rsid w:val="00A036F1"/>
    <w:rsid w:val="00A1084F"/>
    <w:rsid w:val="00A12224"/>
    <w:rsid w:val="00A14D96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2F51"/>
    <w:rsid w:val="00C06C53"/>
    <w:rsid w:val="00C21084"/>
    <w:rsid w:val="00C217ED"/>
    <w:rsid w:val="00C25E69"/>
    <w:rsid w:val="00C36FC4"/>
    <w:rsid w:val="00C4339F"/>
    <w:rsid w:val="00C514B5"/>
    <w:rsid w:val="00C52F62"/>
    <w:rsid w:val="00C55BA3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C481A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B48C9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E78C0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305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0AE5-2C7F-4883-A1ED-ACB0345D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9276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9</cp:revision>
  <cp:lastPrinted>2015-04-16T23:21:00Z</cp:lastPrinted>
  <dcterms:created xsi:type="dcterms:W3CDTF">2015-04-02T02:53:00Z</dcterms:created>
  <dcterms:modified xsi:type="dcterms:W3CDTF">2015-04-16T23:21:00Z</dcterms:modified>
</cp:coreProperties>
</file>